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D233E" w14:textId="39085551" w:rsidR="00BD526D" w:rsidRPr="009D663D" w:rsidRDefault="00BD526D">
      <w:pPr>
        <w:rPr>
          <w:rFonts w:ascii="Calibri" w:hAnsi="Calibri" w:cs="Calibri"/>
          <w:b/>
          <w:bCs/>
          <w:sz w:val="22"/>
          <w:szCs w:val="22"/>
        </w:rPr>
      </w:pPr>
      <w:bookmarkStart w:id="0" w:name="_GoBack"/>
      <w:r w:rsidRPr="009D663D">
        <w:rPr>
          <w:rFonts w:ascii="Calibri" w:hAnsi="Calibri" w:cs="Calibri"/>
          <w:b/>
          <w:bCs/>
          <w:sz w:val="22"/>
          <w:szCs w:val="22"/>
        </w:rPr>
        <w:t>HÜ</w:t>
      </w:r>
      <w:r w:rsidR="00051B91">
        <w:rPr>
          <w:rFonts w:ascii="Calibri" w:hAnsi="Calibri" w:cs="Calibri"/>
          <w:b/>
          <w:bCs/>
          <w:sz w:val="22"/>
          <w:szCs w:val="22"/>
        </w:rPr>
        <w:t xml:space="preserve">DA </w:t>
      </w:r>
      <w:proofErr w:type="spellStart"/>
      <w:r w:rsidR="00051B91">
        <w:rPr>
          <w:rFonts w:ascii="Calibri" w:hAnsi="Calibri" w:cs="Calibri"/>
          <w:b/>
          <w:bCs/>
          <w:sz w:val="22"/>
          <w:szCs w:val="22"/>
        </w:rPr>
        <w:t>PAR’dan</w:t>
      </w:r>
      <w:proofErr w:type="spellEnd"/>
      <w:r w:rsidR="00051B91">
        <w:rPr>
          <w:rFonts w:ascii="Calibri" w:hAnsi="Calibri" w:cs="Calibri"/>
          <w:b/>
          <w:bCs/>
          <w:sz w:val="22"/>
          <w:szCs w:val="22"/>
        </w:rPr>
        <w:t xml:space="preserve"> Mersin ve Ankara’da kadınlara yapılan</w:t>
      </w:r>
      <w:r w:rsidRPr="009D663D">
        <w:rPr>
          <w:rFonts w:ascii="Calibri" w:hAnsi="Calibri" w:cs="Calibri"/>
          <w:b/>
          <w:bCs/>
          <w:sz w:val="22"/>
          <w:szCs w:val="22"/>
        </w:rPr>
        <w:t xml:space="preserve"> operasyonlara ilişkin açıklama</w:t>
      </w:r>
    </w:p>
    <w:bookmarkEnd w:id="0"/>
    <w:p w14:paraId="0E5274ED" w14:textId="536E3CBC" w:rsidR="004E0CD3" w:rsidRPr="009D663D" w:rsidRDefault="004E0CD3" w:rsidP="00BD526D">
      <w:pPr>
        <w:rPr>
          <w:rFonts w:ascii="Calibri" w:hAnsi="Calibri" w:cs="Calibri"/>
          <w:b/>
          <w:bCs/>
          <w:sz w:val="22"/>
          <w:szCs w:val="22"/>
        </w:rPr>
      </w:pPr>
      <w:r w:rsidRPr="009D663D">
        <w:rPr>
          <w:rFonts w:ascii="Calibri" w:hAnsi="Calibri" w:cs="Calibri"/>
          <w:b/>
          <w:bCs/>
          <w:sz w:val="22"/>
          <w:szCs w:val="22"/>
        </w:rPr>
        <w:t>HÜDA PAR İnsan Hakları ve Hukuk İşleri Başkanlığı, Mersin ve Ankara merkezli yürütülen operasyonlarda hamile ve emziren kad</w:t>
      </w:r>
      <w:r w:rsidR="005B08FC">
        <w:rPr>
          <w:rFonts w:ascii="Calibri" w:hAnsi="Calibri" w:cs="Calibri"/>
          <w:b/>
          <w:bCs/>
          <w:sz w:val="22"/>
          <w:szCs w:val="22"/>
        </w:rPr>
        <w:t xml:space="preserve">ınların tutuklanmasına ilişkin </w:t>
      </w:r>
      <w:r w:rsidR="005B08FC" w:rsidRPr="005B08FC">
        <w:rPr>
          <w:rFonts w:ascii="Calibri" w:hAnsi="Calibri" w:cs="Calibri"/>
          <w:b/>
          <w:bCs/>
          <w:sz w:val="22"/>
          <w:szCs w:val="22"/>
        </w:rPr>
        <w:t>yaptığı açıklamada</w:t>
      </w:r>
      <w:r w:rsidR="005B08FC">
        <w:rPr>
          <w:rFonts w:ascii="Calibri" w:hAnsi="Calibri" w:cs="Calibri"/>
          <w:b/>
          <w:bCs/>
          <w:sz w:val="22"/>
          <w:szCs w:val="22"/>
        </w:rPr>
        <w:t xml:space="preserve">, </w:t>
      </w:r>
      <w:r w:rsidRPr="009D663D">
        <w:rPr>
          <w:rFonts w:ascii="Calibri" w:hAnsi="Calibri" w:cs="Calibri"/>
          <w:b/>
          <w:bCs/>
          <w:sz w:val="22"/>
          <w:szCs w:val="22"/>
        </w:rPr>
        <w:t>yargı makamlarını masumiyet karinesine riayet etmeye ve ölçülülük ilkesini esas almaya davet etti.</w:t>
      </w:r>
    </w:p>
    <w:p w14:paraId="51C29BB2" w14:textId="384BD3AA" w:rsidR="00BD526D" w:rsidRPr="009D663D" w:rsidRDefault="00BD526D" w:rsidP="00BD526D">
      <w:pPr>
        <w:rPr>
          <w:rFonts w:ascii="Calibri" w:hAnsi="Calibri" w:cs="Calibri"/>
          <w:sz w:val="22"/>
          <w:szCs w:val="22"/>
        </w:rPr>
      </w:pPr>
      <w:r w:rsidRPr="009D663D">
        <w:rPr>
          <w:rFonts w:ascii="Calibri" w:hAnsi="Calibri" w:cs="Calibri"/>
          <w:sz w:val="22"/>
          <w:szCs w:val="22"/>
        </w:rPr>
        <w:t>HÜDA PAR İnsan Hakları ve Hukuk İşleri Başkanlığı, Mersin ve Ankara’da “terörizmin finansmanı” iddiasıyl</w:t>
      </w:r>
      <w:r w:rsidR="005B08FC">
        <w:rPr>
          <w:rFonts w:ascii="Calibri" w:hAnsi="Calibri" w:cs="Calibri"/>
          <w:sz w:val="22"/>
          <w:szCs w:val="22"/>
        </w:rPr>
        <w:t xml:space="preserve">a gerçekleştirilen operasyonlara </w:t>
      </w:r>
      <w:r w:rsidRPr="009D663D">
        <w:rPr>
          <w:rFonts w:ascii="Calibri" w:hAnsi="Calibri" w:cs="Calibri"/>
          <w:sz w:val="22"/>
          <w:szCs w:val="22"/>
        </w:rPr>
        <w:t xml:space="preserve">ve ardından verilen tutuklama kararlarına ilişkin yazılı bir açıklama yaptı. </w:t>
      </w:r>
    </w:p>
    <w:p w14:paraId="7FB03AEA" w14:textId="4E08C4F0" w:rsidR="009D663D" w:rsidRPr="009D663D" w:rsidRDefault="009D663D" w:rsidP="00BD526D">
      <w:pPr>
        <w:rPr>
          <w:rFonts w:ascii="Calibri" w:hAnsi="Calibri" w:cs="Calibri"/>
          <w:b/>
          <w:sz w:val="22"/>
          <w:szCs w:val="22"/>
        </w:rPr>
      </w:pPr>
      <w:r w:rsidRPr="009D663D">
        <w:rPr>
          <w:rFonts w:ascii="Calibri" w:hAnsi="Calibri" w:cs="Calibri"/>
          <w:b/>
          <w:sz w:val="22"/>
          <w:szCs w:val="22"/>
        </w:rPr>
        <w:t>“Ticari</w:t>
      </w:r>
      <w:r w:rsidRPr="009D663D">
        <w:rPr>
          <w:rFonts w:ascii="Calibri" w:hAnsi="Calibri" w:cs="Calibri"/>
          <w:b/>
          <w:sz w:val="22"/>
          <w:szCs w:val="22"/>
        </w:rPr>
        <w:t xml:space="preserve"> ve insani ilişkiler, somut suç delilleri olmaksızın terör faaliyeti olarak değerlendirilemez</w:t>
      </w:r>
      <w:r w:rsidRPr="009D663D">
        <w:rPr>
          <w:rFonts w:ascii="Calibri" w:hAnsi="Calibri" w:cs="Calibri"/>
          <w:b/>
          <w:sz w:val="22"/>
          <w:szCs w:val="22"/>
        </w:rPr>
        <w:t>”</w:t>
      </w:r>
    </w:p>
    <w:p w14:paraId="2FE33972" w14:textId="5628FABF" w:rsidR="00BD526D" w:rsidRPr="009D663D" w:rsidRDefault="00BD526D" w:rsidP="00BD526D">
      <w:pPr>
        <w:rPr>
          <w:rFonts w:ascii="Calibri" w:hAnsi="Calibri" w:cs="Calibri"/>
          <w:sz w:val="22"/>
          <w:szCs w:val="22"/>
        </w:rPr>
      </w:pPr>
      <w:r w:rsidRPr="009D663D">
        <w:rPr>
          <w:rFonts w:ascii="Calibri" w:hAnsi="Calibri" w:cs="Calibri"/>
          <w:sz w:val="22"/>
          <w:szCs w:val="22"/>
        </w:rPr>
        <w:t>Mersin ve Ankara’da ‘terörizmin finansmanı’ iddiasıyla gerçekleştirilen operasyonlar</w:t>
      </w:r>
      <w:r w:rsidR="005B08FC">
        <w:rPr>
          <w:rFonts w:ascii="Calibri" w:hAnsi="Calibri" w:cs="Calibri"/>
          <w:sz w:val="22"/>
          <w:szCs w:val="22"/>
        </w:rPr>
        <w:t>ın</w:t>
      </w:r>
      <w:r w:rsidRPr="009D663D">
        <w:rPr>
          <w:rFonts w:ascii="Calibri" w:hAnsi="Calibri" w:cs="Calibri"/>
          <w:sz w:val="22"/>
          <w:szCs w:val="22"/>
        </w:rPr>
        <w:t xml:space="preserve"> ve </w:t>
      </w:r>
      <w:r w:rsidR="005B08FC">
        <w:rPr>
          <w:rFonts w:ascii="Calibri" w:hAnsi="Calibri" w:cs="Calibri"/>
          <w:sz w:val="22"/>
          <w:szCs w:val="22"/>
        </w:rPr>
        <w:t xml:space="preserve">verilen </w:t>
      </w:r>
      <w:r w:rsidRPr="009D663D">
        <w:rPr>
          <w:rFonts w:ascii="Calibri" w:hAnsi="Calibri" w:cs="Calibri"/>
          <w:sz w:val="22"/>
          <w:szCs w:val="22"/>
        </w:rPr>
        <w:t>tutuklama kararları</w:t>
      </w:r>
      <w:r w:rsidR="005B08FC">
        <w:rPr>
          <w:rFonts w:ascii="Calibri" w:hAnsi="Calibri" w:cs="Calibri"/>
          <w:sz w:val="22"/>
          <w:szCs w:val="22"/>
        </w:rPr>
        <w:t>nın</w:t>
      </w:r>
      <w:r w:rsidRPr="009D663D">
        <w:rPr>
          <w:rFonts w:ascii="Calibri" w:hAnsi="Calibri" w:cs="Calibri"/>
          <w:sz w:val="22"/>
          <w:szCs w:val="22"/>
        </w:rPr>
        <w:t xml:space="preserve"> ciddi soru işaret</w:t>
      </w:r>
      <w:r w:rsidR="005B08FC">
        <w:rPr>
          <w:rFonts w:ascii="Calibri" w:hAnsi="Calibri" w:cs="Calibri"/>
          <w:sz w:val="22"/>
          <w:szCs w:val="22"/>
        </w:rPr>
        <w:t>lerine neden olduğuna vurgu yapılan açıklamada, “</w:t>
      </w:r>
      <w:r w:rsidRPr="009D663D">
        <w:rPr>
          <w:rFonts w:ascii="Calibri" w:hAnsi="Calibri" w:cs="Calibri"/>
          <w:sz w:val="22"/>
          <w:szCs w:val="22"/>
        </w:rPr>
        <w:t>Kadınların gündelik alışverişleri, telefon görüşmeleri ve ailevi buluşmalarının suçlamalara dayanak gösterildiği iddiaları açıklığa kavuşturulmalıdır. Sıradan ticari ve insani ilişkiler, somut suç delilleri olmaksızın terör faaliyeti olarak değerlendirilemez.” denildi.</w:t>
      </w:r>
    </w:p>
    <w:p w14:paraId="3578E172" w14:textId="78D20976" w:rsidR="000144C4" w:rsidRPr="009D663D" w:rsidRDefault="000144C4" w:rsidP="00BD526D">
      <w:pPr>
        <w:rPr>
          <w:rFonts w:ascii="Calibri" w:hAnsi="Calibri" w:cs="Calibri"/>
          <w:b/>
          <w:bCs/>
          <w:sz w:val="22"/>
          <w:szCs w:val="22"/>
        </w:rPr>
      </w:pPr>
      <w:r w:rsidRPr="009D663D">
        <w:rPr>
          <w:rFonts w:ascii="Calibri" w:hAnsi="Calibri" w:cs="Calibri"/>
          <w:b/>
          <w:bCs/>
          <w:sz w:val="22"/>
          <w:szCs w:val="22"/>
        </w:rPr>
        <w:t xml:space="preserve">“Tutuklama istisnai bir koruma tedbiridir, peşin cezalandırma yöntemi değildir” </w:t>
      </w:r>
    </w:p>
    <w:p w14:paraId="3B1F8A7B" w14:textId="36683811" w:rsidR="00BD526D" w:rsidRPr="009D663D" w:rsidRDefault="00BD526D" w:rsidP="00BD526D">
      <w:pPr>
        <w:rPr>
          <w:rFonts w:ascii="Calibri" w:hAnsi="Calibri" w:cs="Calibri"/>
          <w:sz w:val="22"/>
          <w:szCs w:val="22"/>
        </w:rPr>
      </w:pPr>
      <w:r w:rsidRPr="009D663D">
        <w:rPr>
          <w:rFonts w:ascii="Calibri" w:hAnsi="Calibri" w:cs="Calibri"/>
          <w:sz w:val="22"/>
          <w:szCs w:val="22"/>
        </w:rPr>
        <w:t>Operasyonlar sırasında uygulandığı iddia edilen yöntemlere ve hassas grupların durumuna değinilen açıklamad</w:t>
      </w:r>
      <w:r w:rsidR="009D663D">
        <w:rPr>
          <w:rFonts w:ascii="Calibri" w:hAnsi="Calibri" w:cs="Calibri"/>
          <w:sz w:val="22"/>
          <w:szCs w:val="22"/>
        </w:rPr>
        <w:t xml:space="preserve">a, </w:t>
      </w:r>
      <w:r w:rsidRPr="009D663D">
        <w:rPr>
          <w:rFonts w:ascii="Calibri" w:hAnsi="Calibri" w:cs="Calibri"/>
          <w:sz w:val="22"/>
          <w:szCs w:val="22"/>
        </w:rPr>
        <w:t>şu değerlendirmelere yer verildi:</w:t>
      </w:r>
    </w:p>
    <w:p w14:paraId="24ED1FCC" w14:textId="24824101" w:rsidR="00BD526D" w:rsidRPr="009D663D" w:rsidRDefault="00BD526D" w:rsidP="00BD526D">
      <w:pPr>
        <w:rPr>
          <w:rFonts w:ascii="Calibri" w:hAnsi="Calibri" w:cs="Calibri"/>
          <w:sz w:val="22"/>
          <w:szCs w:val="22"/>
        </w:rPr>
      </w:pPr>
      <w:r w:rsidRPr="009D663D">
        <w:rPr>
          <w:rFonts w:ascii="Calibri" w:hAnsi="Calibri" w:cs="Calibri"/>
          <w:sz w:val="22"/>
          <w:szCs w:val="22"/>
        </w:rPr>
        <w:t>“Şafak operasyonları, ters kelepçe iddiaları ve özellikle riskli gebelik geçiren 7 aylık hamile kadın ile 8 aylık bebeğini emziren annenin tutuklanması hangi zorunlulukla açıklanabilir? Ağır ekonomik suçlarda dahi tutuksuz yargılama mümkün görülürken, bu kadınlar hakkında adli kontrol neden yeterli görülmemiştir? Tutuklama istisnai bir koruma tedbiridir, peşin cezalandırma yöntemi değildir.” ifadelerine yer verildi.</w:t>
      </w:r>
    </w:p>
    <w:p w14:paraId="743B7712" w14:textId="18719B8E" w:rsidR="000144C4" w:rsidRPr="009D663D" w:rsidRDefault="000144C4" w:rsidP="00BD526D">
      <w:pPr>
        <w:rPr>
          <w:rFonts w:ascii="Calibri" w:hAnsi="Calibri" w:cs="Calibri"/>
          <w:b/>
          <w:bCs/>
          <w:sz w:val="22"/>
          <w:szCs w:val="22"/>
        </w:rPr>
      </w:pPr>
      <w:r w:rsidRPr="009D663D">
        <w:rPr>
          <w:rFonts w:ascii="Calibri" w:hAnsi="Calibri" w:cs="Calibri"/>
          <w:b/>
          <w:bCs/>
          <w:sz w:val="22"/>
          <w:szCs w:val="22"/>
        </w:rPr>
        <w:t>“Soruşturma ve yargılama işlemlerinde hukukun sınırları içerisinde hareket edilmeli”</w:t>
      </w:r>
    </w:p>
    <w:p w14:paraId="5C8E8585" w14:textId="002783A4" w:rsidR="00BD526D" w:rsidRPr="009D663D" w:rsidRDefault="000144C4" w:rsidP="00BD526D">
      <w:pPr>
        <w:rPr>
          <w:rFonts w:ascii="Calibri" w:hAnsi="Calibri" w:cs="Calibri"/>
          <w:sz w:val="22"/>
          <w:szCs w:val="22"/>
        </w:rPr>
      </w:pPr>
      <w:r w:rsidRPr="009D663D">
        <w:rPr>
          <w:rFonts w:ascii="Calibri" w:hAnsi="Calibri" w:cs="Calibri"/>
          <w:sz w:val="22"/>
          <w:szCs w:val="22"/>
        </w:rPr>
        <w:t>Açıklamanın sonunda, “</w:t>
      </w:r>
      <w:r w:rsidR="00BD526D" w:rsidRPr="009D663D">
        <w:rPr>
          <w:rFonts w:ascii="Calibri" w:hAnsi="Calibri" w:cs="Calibri"/>
          <w:sz w:val="22"/>
          <w:szCs w:val="22"/>
        </w:rPr>
        <w:t>Yetkili makamları masumiyet karinesine, ölçülülük ilkesine, insan haysiyetine, hayat ve sağlık hakkına riayet etmeye; tüm soruşturma ve yargılama işlemlerinde hukukun sınırları içerisinde hareket etmeye davet ediyoruz.</w:t>
      </w:r>
      <w:r w:rsidRPr="009D663D">
        <w:rPr>
          <w:rFonts w:ascii="Calibri" w:hAnsi="Calibri" w:cs="Calibri"/>
          <w:sz w:val="22"/>
          <w:szCs w:val="22"/>
        </w:rPr>
        <w:t xml:space="preserve">” </w:t>
      </w:r>
      <w:r w:rsidR="009D663D">
        <w:rPr>
          <w:rFonts w:ascii="Calibri" w:hAnsi="Calibri" w:cs="Calibri"/>
          <w:sz w:val="22"/>
          <w:szCs w:val="22"/>
        </w:rPr>
        <w:t>denildi.</w:t>
      </w:r>
    </w:p>
    <w:sectPr w:rsidR="00BD526D" w:rsidRPr="009D66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A32"/>
    <w:rsid w:val="000144C4"/>
    <w:rsid w:val="00051B91"/>
    <w:rsid w:val="001920AB"/>
    <w:rsid w:val="004E0CD3"/>
    <w:rsid w:val="005B08FC"/>
    <w:rsid w:val="00622A32"/>
    <w:rsid w:val="009B11C7"/>
    <w:rsid w:val="009D663D"/>
    <w:rsid w:val="00BD526D"/>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97845"/>
  <w15:chartTrackingRefBased/>
  <w15:docId w15:val="{38EDA67E-BD55-422E-9E5B-7787ECD69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22A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622A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622A32"/>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622A32"/>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622A32"/>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622A32"/>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622A32"/>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622A32"/>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622A32"/>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22A3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622A3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622A3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622A3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622A3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622A3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622A3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622A3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622A32"/>
    <w:rPr>
      <w:rFonts w:eastAsiaTheme="majorEastAsia" w:cstheme="majorBidi"/>
      <w:color w:val="272727" w:themeColor="text1" w:themeTint="D8"/>
    </w:rPr>
  </w:style>
  <w:style w:type="paragraph" w:styleId="KonuBal">
    <w:name w:val="Title"/>
    <w:basedOn w:val="Normal"/>
    <w:next w:val="Normal"/>
    <w:link w:val="KonuBalChar"/>
    <w:uiPriority w:val="10"/>
    <w:qFormat/>
    <w:rsid w:val="00622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622A3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622A32"/>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622A3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622A32"/>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622A32"/>
    <w:rPr>
      <w:i/>
      <w:iCs/>
      <w:color w:val="404040" w:themeColor="text1" w:themeTint="BF"/>
    </w:rPr>
  </w:style>
  <w:style w:type="paragraph" w:styleId="ListeParagraf">
    <w:name w:val="List Paragraph"/>
    <w:basedOn w:val="Normal"/>
    <w:uiPriority w:val="34"/>
    <w:qFormat/>
    <w:rsid w:val="00622A32"/>
    <w:pPr>
      <w:ind w:left="720"/>
      <w:contextualSpacing/>
    </w:pPr>
  </w:style>
  <w:style w:type="character" w:styleId="GlVurgulama">
    <w:name w:val="Intense Emphasis"/>
    <w:basedOn w:val="VarsaylanParagrafYazTipi"/>
    <w:uiPriority w:val="21"/>
    <w:qFormat/>
    <w:rsid w:val="00622A32"/>
    <w:rPr>
      <w:i/>
      <w:iCs/>
      <w:color w:val="0F4761" w:themeColor="accent1" w:themeShade="BF"/>
    </w:rPr>
  </w:style>
  <w:style w:type="paragraph" w:styleId="GlAlnt">
    <w:name w:val="Intense Quote"/>
    <w:basedOn w:val="Normal"/>
    <w:next w:val="Normal"/>
    <w:link w:val="GlAlntChar"/>
    <w:uiPriority w:val="30"/>
    <w:qFormat/>
    <w:rsid w:val="00622A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622A32"/>
    <w:rPr>
      <w:i/>
      <w:iCs/>
      <w:color w:val="0F4761" w:themeColor="accent1" w:themeShade="BF"/>
    </w:rPr>
  </w:style>
  <w:style w:type="character" w:styleId="GlBavuru">
    <w:name w:val="Intense Reference"/>
    <w:basedOn w:val="VarsaylanParagrafYazTipi"/>
    <w:uiPriority w:val="32"/>
    <w:qFormat/>
    <w:rsid w:val="00622A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314</Words>
  <Characters>1796</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4</cp:revision>
  <dcterms:created xsi:type="dcterms:W3CDTF">2026-11-02T10:44:00Z</dcterms:created>
  <dcterms:modified xsi:type="dcterms:W3CDTF">2026-11-02T12:06:00Z</dcterms:modified>
</cp:coreProperties>
</file>